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Maritza Garcia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Mobile Divider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Open offices that encourage collaboration and inspire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creativity have become a common theme in modern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office design and planning. Introverts and extroverts have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different means of generating ideas; introverts psychic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energy tends to expand through reflection and dwindle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during interaction. Some of the greatest ideas come in 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moment of reflection. However, in an environment that is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designed for constant interaction it is sometimes difficult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for a person to create their own space to retreat into.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Compact Mobile Divider allows a user to create 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visual barrier, and gives them an opportunity for personal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reflection. It can quickly and quietly deploy to create 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temporary barrier, and can be used as a signaling device to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inform others that you wish to be left alone. When closed,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Compact Mobile Divider is elegantly stored and is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unobtrusive as a simple box.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